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F0" w:rsidRPr="003059C1" w:rsidRDefault="00EA7EF0" w:rsidP="00EA7EF0">
      <w:pPr>
        <w:spacing w:before="96"/>
        <w:rPr>
          <w:rFonts w:ascii="Calibri" w:hAnsi="Calibri"/>
          <w:b/>
          <w:color w:val="00263E"/>
          <w:sz w:val="12"/>
          <w:szCs w:val="12"/>
        </w:rPr>
      </w:pPr>
      <w:r w:rsidRPr="00DB1606">
        <w:rPr>
          <w:rFonts w:ascii="Calibri" w:hAnsi="Calibri"/>
          <w:b/>
          <w:color w:val="00263E"/>
        </w:rPr>
        <w:t>Sample Insurance Requirements and Indemnification language (Non-Professional Vendor)</w:t>
      </w:r>
    </w:p>
    <w:p w:rsidR="00DB1606" w:rsidRPr="003059C1" w:rsidRDefault="00DB1606" w:rsidP="00EA7EF0">
      <w:pPr>
        <w:spacing w:before="96"/>
        <w:rPr>
          <w:rFonts w:ascii="Calibri" w:hAnsi="Calibri"/>
          <w:color w:val="00263E"/>
          <w:sz w:val="12"/>
          <w:szCs w:val="12"/>
        </w:rPr>
      </w:pPr>
    </w:p>
    <w:p w:rsidR="00EA7EF0" w:rsidRPr="003059C1" w:rsidRDefault="00EA7EF0" w:rsidP="00EA7EF0">
      <w:pPr>
        <w:spacing w:before="96"/>
        <w:rPr>
          <w:rFonts w:ascii="Calibri" w:hAnsi="Calibri"/>
          <w:sz w:val="12"/>
          <w:szCs w:val="12"/>
        </w:rPr>
      </w:pPr>
      <w:proofErr w:type="gramStart"/>
      <w:r w:rsidRPr="00DB1606">
        <w:rPr>
          <w:rFonts w:ascii="Calibri" w:hAnsi="Calibri"/>
          <w:color w:val="00263E"/>
          <w:sz w:val="21"/>
          <w:szCs w:val="21"/>
        </w:rPr>
        <w:t xml:space="preserve">Vendor shall indemnify, defend, and hold harmless the </w:t>
      </w:r>
      <w:r w:rsidR="00DB1606" w:rsidRPr="00DB1606">
        <w:rPr>
          <w:rFonts w:ascii="Calibri" w:hAnsi="Calibri"/>
          <w:color w:val="00263E"/>
          <w:sz w:val="21"/>
          <w:szCs w:val="21"/>
        </w:rPr>
        <w:t>District</w:t>
      </w:r>
      <w:r w:rsidRPr="00DB1606">
        <w:rPr>
          <w:rFonts w:ascii="Calibri" w:hAnsi="Calibri"/>
          <w:color w:val="00263E"/>
          <w:sz w:val="21"/>
          <w:szCs w:val="21"/>
        </w:rPr>
        <w:t xml:space="preserve">, and its officers, employees, and agents, from and against </w:t>
      </w:r>
      <w:r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>any and all</w:t>
      </w:r>
      <w:r w:rsidRPr="00DB1606">
        <w:rPr>
          <w:rFonts w:ascii="Calibri" w:hAnsi="Calibri"/>
          <w:color w:val="00263E"/>
          <w:sz w:val="21"/>
          <w:szCs w:val="21"/>
        </w:rPr>
        <w:t xml:space="preserve"> causes of action, claims, liabilities, obligations, judgments, or damages, including reasonable attorneys’ fees and costs of litigation (“claims”), </w:t>
      </w:r>
      <w:r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 xml:space="preserve">arising out of the Vendor’s performance </w:t>
      </w:r>
      <w:r w:rsidRPr="00DB1606">
        <w:rPr>
          <w:rFonts w:ascii="Calibri" w:hAnsi="Calibri"/>
          <w:color w:val="00263E"/>
          <w:sz w:val="21"/>
          <w:szCs w:val="21"/>
        </w:rPr>
        <w:t xml:space="preserve">of its obligations under this agreement or out of the operations conducted by Vendor, </w:t>
      </w:r>
      <w:r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 xml:space="preserve">except for such loss or damage arising from the sole negligence or willful misconduct of the </w:t>
      </w:r>
      <w:r w:rsidR="00DB1606"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>District</w:t>
      </w:r>
      <w:r w:rsidRPr="00DB1606">
        <w:rPr>
          <w:rFonts w:ascii="Calibri" w:hAnsi="Calibri"/>
          <w:color w:val="00263E"/>
          <w:sz w:val="21"/>
          <w:szCs w:val="21"/>
        </w:rPr>
        <w:t>.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</w:t>
      </w:r>
    </w:p>
    <w:p w:rsidR="00EA7EF0" w:rsidRPr="003059C1" w:rsidRDefault="00EA7EF0" w:rsidP="00EA7EF0">
      <w:pPr>
        <w:rPr>
          <w:rFonts w:ascii="Calibri" w:hAnsi="Calibri"/>
          <w:color w:val="1F497D"/>
          <w:sz w:val="12"/>
          <w:szCs w:val="12"/>
        </w:rPr>
      </w:pPr>
    </w:p>
    <w:p w:rsidR="00EA7EF0" w:rsidRPr="00DB1606" w:rsidRDefault="00EA7EF0" w:rsidP="00EA7EF0">
      <w:pPr>
        <w:spacing w:before="115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b/>
          <w:bCs/>
          <w:color w:val="00263E"/>
          <w:sz w:val="21"/>
          <w:szCs w:val="21"/>
        </w:rPr>
        <w:t>Coverage &amp; Limits</w:t>
      </w:r>
      <w:r w:rsidRPr="00DB1606">
        <w:rPr>
          <w:rFonts w:ascii="Calibri" w:hAnsi="Calibri"/>
          <w:color w:val="00263E"/>
          <w:sz w:val="21"/>
          <w:szCs w:val="21"/>
        </w:rPr>
        <w:t>.</w:t>
      </w:r>
    </w:p>
    <w:p w:rsidR="00EA7EF0" w:rsidRPr="00DB1606" w:rsidRDefault="00EA7EF0" w:rsidP="00EA7EF0">
      <w:pPr>
        <w:spacing w:before="96"/>
        <w:rPr>
          <w:rFonts w:ascii="Calibri" w:hAnsi="Calibri"/>
          <w:sz w:val="21"/>
          <w:szCs w:val="21"/>
        </w:rPr>
      </w:pPr>
      <w:proofErr w:type="gramStart"/>
      <w:r w:rsidRPr="00DB1606">
        <w:rPr>
          <w:rFonts w:ascii="Calibri" w:hAnsi="Calibri"/>
          <w:color w:val="00263E"/>
          <w:sz w:val="21"/>
          <w:szCs w:val="21"/>
        </w:rPr>
        <w:t xml:space="preserve">Vendor shall indemnify, defend, and hold harmless the </w:t>
      </w:r>
      <w:r w:rsidR="00DB1606">
        <w:rPr>
          <w:rFonts w:ascii="Calibri" w:hAnsi="Calibri"/>
          <w:color w:val="00263E"/>
          <w:sz w:val="21"/>
          <w:szCs w:val="21"/>
        </w:rPr>
        <w:t>District</w:t>
      </w:r>
      <w:r w:rsidRPr="00DB1606">
        <w:rPr>
          <w:rFonts w:ascii="Calibri" w:hAnsi="Calibri"/>
          <w:color w:val="00263E"/>
          <w:sz w:val="21"/>
          <w:szCs w:val="21"/>
        </w:rPr>
        <w:t xml:space="preserve">, and its officers, employees, and agents </w:t>
      </w:r>
      <w:r w:rsidR="00DB1606">
        <w:rPr>
          <w:rFonts w:ascii="Calibri" w:hAnsi="Calibri"/>
          <w:color w:val="00263E"/>
          <w:sz w:val="21"/>
          <w:szCs w:val="21"/>
        </w:rPr>
        <w:t>,</w:t>
      </w:r>
      <w:r w:rsidRPr="00DB1606">
        <w:rPr>
          <w:rFonts w:ascii="Calibri" w:hAnsi="Calibri"/>
          <w:color w:val="00263E"/>
          <w:sz w:val="21"/>
          <w:szCs w:val="21"/>
        </w:rPr>
        <w:t xml:space="preserve"> from and against </w:t>
      </w:r>
      <w:r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>any and all</w:t>
      </w:r>
      <w:r w:rsidRPr="00DB1606">
        <w:rPr>
          <w:rFonts w:ascii="Calibri" w:hAnsi="Calibri"/>
          <w:color w:val="00263E"/>
          <w:sz w:val="21"/>
          <w:szCs w:val="21"/>
        </w:rPr>
        <w:t xml:space="preserve"> causes of action, claims, liabilities, obligations, judgments, or damages, including reasonable attorneys’ fees and costs of litigation (“claims”), </w:t>
      </w:r>
      <w:r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 xml:space="preserve">arising out of the Vendor’s performance </w:t>
      </w:r>
      <w:r w:rsidRPr="00DB1606">
        <w:rPr>
          <w:rFonts w:ascii="Calibri" w:hAnsi="Calibri"/>
          <w:color w:val="00263E"/>
          <w:sz w:val="21"/>
          <w:szCs w:val="21"/>
        </w:rPr>
        <w:t xml:space="preserve">of its obligations under this agreement or out of the operations conducted by Vendor, </w:t>
      </w:r>
      <w:r w:rsidRPr="00DB1606">
        <w:rPr>
          <w:rFonts w:ascii="Calibri" w:hAnsi="Calibri"/>
          <w:b/>
          <w:bCs/>
          <w:color w:val="00263E"/>
          <w:sz w:val="21"/>
          <w:szCs w:val="21"/>
          <w:u w:val="single"/>
        </w:rPr>
        <w:t>except for such loss or damage arising from the sole negligence or willful misconduct of the Agency</w:t>
      </w:r>
      <w:r w:rsidRPr="00DB1606">
        <w:rPr>
          <w:rFonts w:ascii="Calibri" w:hAnsi="Calibri"/>
          <w:color w:val="00263E"/>
          <w:sz w:val="21"/>
          <w:szCs w:val="21"/>
        </w:rPr>
        <w:t>.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</w:t>
      </w:r>
    </w:p>
    <w:p w:rsidR="00EA7EF0" w:rsidRPr="00DB1606" w:rsidRDefault="00EA7EF0" w:rsidP="00EA7EF0">
      <w:pPr>
        <w:spacing w:before="115"/>
        <w:rPr>
          <w:rFonts w:ascii="Calibri" w:hAnsi="Calibri"/>
          <w:color w:val="00263E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 xml:space="preserve">The insurance requirements under this Agreement shall be </w:t>
      </w:r>
      <w:r w:rsidRPr="00DB1606">
        <w:rPr>
          <w:rFonts w:ascii="Calibri" w:hAnsi="Calibri"/>
          <w:b/>
          <w:bCs/>
          <w:i/>
          <w:iCs/>
          <w:color w:val="00263E"/>
          <w:sz w:val="21"/>
          <w:szCs w:val="21"/>
        </w:rPr>
        <w:t>the greater</w:t>
      </w:r>
      <w:r w:rsidRPr="00DB1606">
        <w:rPr>
          <w:rFonts w:ascii="Calibri" w:hAnsi="Calibri"/>
          <w:color w:val="00263E"/>
          <w:sz w:val="21"/>
          <w:szCs w:val="21"/>
        </w:rPr>
        <w:t xml:space="preserve"> of (1) the minimum coverage and limits specified in this Agreement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;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or (2) the broader coverage and maximum limits of coverage of any insurance policy or proceeds available to the Named Insured. It 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is agreed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that these insurance requirements shall not in any way act to reduce coverage that is broader or that includes higher limits than the minimums required herein. No representation 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is made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that the minimum insurance requirements of this Agreement are sufficient to cover the obligations of the Contractor.</w:t>
      </w:r>
    </w:p>
    <w:p w:rsidR="00EA7EF0" w:rsidRPr="00DB1606" w:rsidRDefault="00EA7EF0" w:rsidP="00EA7EF0">
      <w:pPr>
        <w:spacing w:before="240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b/>
          <w:bCs/>
          <w:color w:val="00263E"/>
          <w:sz w:val="21"/>
          <w:szCs w:val="21"/>
        </w:rPr>
        <w:t>Commercial General Liability:</w:t>
      </w:r>
    </w:p>
    <w:p w:rsidR="00EA7EF0" w:rsidRPr="00DB1606" w:rsidRDefault="00EA7EF0" w:rsidP="00EA7EF0">
      <w:pPr>
        <w:numPr>
          <w:ilvl w:val="0"/>
          <w:numId w:val="1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 xml:space="preserve">Commercial General Liability with $1,000,000 per occurrence for Bodily Injury, Personal and Advertising Injury and Property Damage including Blanket Contractual Liability, Products Liability, Completed Operations.  </w:t>
      </w:r>
    </w:p>
    <w:p w:rsidR="00EA7EF0" w:rsidRPr="00DB1606" w:rsidRDefault="00DB1606" w:rsidP="00EA7EF0">
      <w:pPr>
        <w:numPr>
          <w:ilvl w:val="0"/>
          <w:numId w:val="1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District</w:t>
      </w:r>
      <w:r w:rsidR="00EA7EF0" w:rsidRPr="00DB1606">
        <w:rPr>
          <w:rFonts w:ascii="Calibri" w:hAnsi="Calibri"/>
          <w:color w:val="00263E"/>
          <w:sz w:val="21"/>
          <w:szCs w:val="21"/>
        </w:rPr>
        <w:t xml:space="preserve">, its officers, officials, employees and representatives to </w:t>
      </w:r>
      <w:proofErr w:type="gramStart"/>
      <w:r w:rsidR="00EA7EF0" w:rsidRPr="00DB1606">
        <w:rPr>
          <w:rFonts w:ascii="Calibri" w:hAnsi="Calibri"/>
          <w:color w:val="00263E"/>
          <w:sz w:val="21"/>
          <w:szCs w:val="21"/>
        </w:rPr>
        <w:t>be named</w:t>
      </w:r>
      <w:proofErr w:type="gramEnd"/>
      <w:r w:rsidR="00EA7EF0" w:rsidRPr="00DB1606">
        <w:rPr>
          <w:rFonts w:ascii="Calibri" w:hAnsi="Calibri"/>
          <w:color w:val="00263E"/>
          <w:sz w:val="21"/>
          <w:szCs w:val="21"/>
        </w:rPr>
        <w:t xml:space="preserve"> as additional insured (endorsement).</w:t>
      </w:r>
      <w:bookmarkStart w:id="0" w:name="_GoBack"/>
      <w:bookmarkEnd w:id="0"/>
    </w:p>
    <w:p w:rsidR="00EA7EF0" w:rsidRPr="00DB1606" w:rsidRDefault="00EA7EF0" w:rsidP="00EA7EF0">
      <w:pPr>
        <w:numPr>
          <w:ilvl w:val="0"/>
          <w:numId w:val="1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Contractor’s insurance to be primary and non-contributory.</w:t>
      </w:r>
    </w:p>
    <w:p w:rsidR="00EA7EF0" w:rsidRPr="00DB1606" w:rsidRDefault="00EA7EF0" w:rsidP="00EA7EF0">
      <w:pPr>
        <w:numPr>
          <w:ilvl w:val="0"/>
          <w:numId w:val="1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 xml:space="preserve">30-day notice of intent to cancel, non-renew, or make material change in coverage.  </w:t>
      </w:r>
    </w:p>
    <w:p w:rsidR="00EA7EF0" w:rsidRPr="00DB1606" w:rsidRDefault="00EA7EF0" w:rsidP="00EA7EF0">
      <w:pPr>
        <w:numPr>
          <w:ilvl w:val="0"/>
          <w:numId w:val="1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Executed Indemnity and Hold Harmless Agreement.</w:t>
      </w:r>
    </w:p>
    <w:p w:rsidR="00EA7EF0" w:rsidRPr="00DB1606" w:rsidRDefault="00EA7EF0" w:rsidP="00EA7EF0">
      <w:pPr>
        <w:spacing w:before="240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b/>
          <w:bCs/>
          <w:color w:val="00263E"/>
          <w:sz w:val="21"/>
          <w:szCs w:val="21"/>
        </w:rPr>
        <w:t>Automobile Liability:</w:t>
      </w:r>
      <w:r w:rsidRPr="00DB1606">
        <w:rPr>
          <w:rFonts w:ascii="Calibri" w:hAnsi="Calibri"/>
          <w:color w:val="00263E"/>
          <w:sz w:val="21"/>
          <w:szCs w:val="21"/>
        </w:rPr>
        <w:t xml:space="preserve"> 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$1,000,000 Combined Single Limit of Liability for Bodily Injury and Property Damage per accident.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Coverage to include “Owned, Non-Owned, and Hired” automobiles.</w:t>
      </w:r>
    </w:p>
    <w:p w:rsidR="00EA7EF0" w:rsidRPr="00DB1606" w:rsidRDefault="00DB1606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District</w:t>
      </w:r>
      <w:r w:rsidR="00EA7EF0" w:rsidRPr="00DB1606">
        <w:rPr>
          <w:rFonts w:ascii="Calibri" w:hAnsi="Calibri"/>
          <w:color w:val="00263E"/>
          <w:sz w:val="21"/>
          <w:szCs w:val="21"/>
        </w:rPr>
        <w:t xml:space="preserve">, its officers, officials, employees and representatives to </w:t>
      </w:r>
      <w:proofErr w:type="gramStart"/>
      <w:r w:rsidR="00EA7EF0" w:rsidRPr="00DB1606">
        <w:rPr>
          <w:rFonts w:ascii="Calibri" w:hAnsi="Calibri"/>
          <w:color w:val="00263E"/>
          <w:sz w:val="21"/>
          <w:szCs w:val="21"/>
        </w:rPr>
        <w:t>be named</w:t>
      </w:r>
      <w:proofErr w:type="gramEnd"/>
      <w:r w:rsidR="00EA7EF0" w:rsidRPr="00DB1606">
        <w:rPr>
          <w:rFonts w:ascii="Calibri" w:hAnsi="Calibri"/>
          <w:color w:val="00263E"/>
          <w:sz w:val="21"/>
          <w:szCs w:val="21"/>
        </w:rPr>
        <w:t xml:space="preserve"> as additional insured.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30-day notice of intent to cancel, non-renew, or make material change in coverage.</w:t>
      </w:r>
    </w:p>
    <w:p w:rsidR="00EA7EF0" w:rsidRPr="00DB1606" w:rsidRDefault="00EA7EF0" w:rsidP="00EA7EF0">
      <w:pPr>
        <w:ind w:left="1267"/>
        <w:rPr>
          <w:rFonts w:ascii="Calibri" w:hAnsi="Calibri"/>
          <w:sz w:val="21"/>
          <w:szCs w:val="21"/>
        </w:rPr>
      </w:pPr>
    </w:p>
    <w:p w:rsidR="00EA7EF0" w:rsidRPr="00DB1606" w:rsidRDefault="00EA7EF0" w:rsidP="00EA7EF0">
      <w:pPr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b/>
          <w:bCs/>
          <w:color w:val="00263E"/>
          <w:sz w:val="21"/>
          <w:szCs w:val="21"/>
        </w:rPr>
        <w:t>Workers’ Compensation/</w:t>
      </w:r>
      <w:proofErr w:type="gramStart"/>
      <w:r w:rsidRPr="00DB1606">
        <w:rPr>
          <w:rFonts w:ascii="Calibri" w:hAnsi="Calibri"/>
          <w:b/>
          <w:bCs/>
          <w:color w:val="00263E"/>
          <w:sz w:val="21"/>
          <w:szCs w:val="21"/>
        </w:rPr>
        <w:t>Employer’s</w:t>
      </w:r>
      <w:proofErr w:type="gramEnd"/>
      <w:r w:rsidRPr="00DB1606">
        <w:rPr>
          <w:rFonts w:ascii="Calibri" w:hAnsi="Calibri"/>
          <w:b/>
          <w:bCs/>
          <w:color w:val="00263E"/>
          <w:sz w:val="21"/>
          <w:szCs w:val="21"/>
        </w:rPr>
        <w:t xml:space="preserve"> Liability: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>Certificate of Insurance indicating “statutory” limits.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proofErr w:type="gramStart"/>
      <w:r w:rsidRPr="00DB1606">
        <w:rPr>
          <w:rFonts w:ascii="Calibri" w:hAnsi="Calibri"/>
          <w:color w:val="00263E"/>
          <w:sz w:val="21"/>
          <w:szCs w:val="21"/>
        </w:rPr>
        <w:t>Employer’s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Liability with limits of not less than $1,000,000 per accident for bodily injury or disease.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 xml:space="preserve">30-day notice of intent to cancel, non-renew, or make material change in coverage. </w:t>
      </w:r>
    </w:p>
    <w:p w:rsidR="00EA7EF0" w:rsidRPr="00DB1606" w:rsidRDefault="00EA7EF0" w:rsidP="00EA7EF0">
      <w:pPr>
        <w:numPr>
          <w:ilvl w:val="0"/>
          <w:numId w:val="2"/>
        </w:numPr>
        <w:ind w:left="1267"/>
        <w:rPr>
          <w:rFonts w:ascii="Calibri" w:hAnsi="Calibri"/>
          <w:sz w:val="21"/>
          <w:szCs w:val="21"/>
        </w:rPr>
      </w:pPr>
      <w:r w:rsidRPr="00DB1606">
        <w:rPr>
          <w:rFonts w:ascii="Calibri" w:hAnsi="Calibri"/>
          <w:color w:val="00263E"/>
          <w:sz w:val="21"/>
          <w:szCs w:val="21"/>
        </w:rPr>
        <w:t xml:space="preserve">Waiver of Subrogation in favor of </w:t>
      </w:r>
      <w:r w:rsidR="004F7285" w:rsidRPr="00DB1606">
        <w:rPr>
          <w:rFonts w:ascii="Calibri" w:hAnsi="Calibri"/>
          <w:color w:val="00263E"/>
          <w:sz w:val="21"/>
          <w:szCs w:val="21"/>
        </w:rPr>
        <w:t>District</w:t>
      </w:r>
      <w:r w:rsidRPr="00DB1606">
        <w:rPr>
          <w:rFonts w:ascii="Calibri" w:hAnsi="Calibri"/>
          <w:color w:val="00263E"/>
          <w:sz w:val="21"/>
          <w:szCs w:val="21"/>
        </w:rPr>
        <w:t>(endorsement)</w:t>
      </w:r>
    </w:p>
    <w:p w:rsidR="00EA7EF0" w:rsidRDefault="00EA7EF0" w:rsidP="00DB1606">
      <w:pPr>
        <w:spacing w:before="96"/>
        <w:rPr>
          <w:rFonts w:ascii="Calibri" w:hAnsi="Calibri"/>
          <w:color w:val="00263E"/>
          <w:sz w:val="21"/>
          <w:szCs w:val="21"/>
        </w:rPr>
      </w:pPr>
      <w:r w:rsidRPr="00DB1606">
        <w:rPr>
          <w:rFonts w:ascii="Calibri" w:hAnsi="Calibri"/>
          <w:b/>
          <w:bCs/>
          <w:color w:val="00263E"/>
          <w:sz w:val="21"/>
          <w:szCs w:val="21"/>
        </w:rPr>
        <w:t>Primary &amp; Non-contributory</w:t>
      </w:r>
      <w:r w:rsidRPr="00DB1606">
        <w:rPr>
          <w:rFonts w:ascii="Calibri" w:hAnsi="Calibri"/>
          <w:color w:val="00263E"/>
          <w:sz w:val="21"/>
          <w:szCs w:val="21"/>
        </w:rPr>
        <w:t xml:space="preserve">. </w:t>
      </w:r>
      <w:r w:rsidR="00DB1606">
        <w:rPr>
          <w:rFonts w:ascii="Calibri" w:hAnsi="Calibri"/>
          <w:color w:val="00263E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DB1606">
        <w:rPr>
          <w:rFonts w:ascii="Calibri" w:hAnsi="Calibri"/>
          <w:color w:val="00263E"/>
          <w:sz w:val="21"/>
          <w:szCs w:val="21"/>
        </w:rPr>
        <w:t xml:space="preserve">Coverage provided by Contractor shall be primary and any insurance or self-insurance procured or maintained by Agency 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shall not be required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to contribute with it. The limits of insurance required herein 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may be satisfied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by a combination of primary and umbrella or excess insurance. Any umbrella or excess insurance shall contain or 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be endorsed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to contain a provision that such coverage shall also apply on a primary and non-contributory basis for the benefit of the </w:t>
      </w:r>
      <w:r w:rsidR="004F7285" w:rsidRPr="00DB1606">
        <w:rPr>
          <w:rFonts w:ascii="Calibri" w:hAnsi="Calibri"/>
          <w:color w:val="00263E"/>
          <w:sz w:val="21"/>
          <w:szCs w:val="21"/>
        </w:rPr>
        <w:t>District</w:t>
      </w:r>
      <w:r w:rsidR="00600EE8" w:rsidRPr="00DB1606">
        <w:rPr>
          <w:rFonts w:ascii="Calibri" w:hAnsi="Calibri"/>
          <w:color w:val="00263E"/>
          <w:sz w:val="21"/>
          <w:szCs w:val="21"/>
        </w:rPr>
        <w:t xml:space="preserve"> </w:t>
      </w:r>
      <w:r w:rsidRPr="00DB1606">
        <w:rPr>
          <w:rFonts w:ascii="Calibri" w:hAnsi="Calibri"/>
          <w:color w:val="00263E"/>
          <w:sz w:val="21"/>
          <w:szCs w:val="21"/>
        </w:rPr>
        <w:t xml:space="preserve">before the </w:t>
      </w:r>
      <w:r w:rsidR="00600EE8" w:rsidRPr="00DB1606">
        <w:rPr>
          <w:rFonts w:ascii="Calibri" w:hAnsi="Calibri"/>
          <w:color w:val="00263E"/>
          <w:sz w:val="21"/>
          <w:szCs w:val="21"/>
        </w:rPr>
        <w:t>District’s</w:t>
      </w:r>
      <w:r w:rsidRPr="00DB1606">
        <w:rPr>
          <w:rFonts w:ascii="Calibri" w:hAnsi="Calibri"/>
          <w:color w:val="00263E"/>
          <w:sz w:val="21"/>
          <w:szCs w:val="21"/>
        </w:rPr>
        <w:t xml:space="preserve"> own insurance or self-insurance shall be called upon to protect it as a named insured.</w:t>
      </w:r>
    </w:p>
    <w:p w:rsidR="003059C1" w:rsidRDefault="00EA7EF0" w:rsidP="003059C1">
      <w:pPr>
        <w:spacing w:before="115"/>
        <w:rPr>
          <w:rFonts w:ascii="Calibri" w:hAnsi="Calibri"/>
          <w:color w:val="00263E"/>
          <w:sz w:val="21"/>
          <w:szCs w:val="21"/>
        </w:rPr>
      </w:pPr>
      <w:r w:rsidRPr="00DB1606">
        <w:rPr>
          <w:rFonts w:ascii="Calibri" w:hAnsi="Calibri"/>
          <w:b/>
          <w:bCs/>
          <w:color w:val="00263E"/>
          <w:sz w:val="21"/>
          <w:szCs w:val="21"/>
        </w:rPr>
        <w:t>Severability of Interests (Cross-Liability</w:t>
      </w:r>
      <w:r w:rsidRPr="00DB1606">
        <w:rPr>
          <w:rFonts w:ascii="Calibri" w:hAnsi="Calibri"/>
          <w:color w:val="00263E"/>
          <w:sz w:val="21"/>
          <w:szCs w:val="21"/>
        </w:rPr>
        <w:t xml:space="preserve">). A severability of interest provision must apply for all the Additional Insureds, ensuring that Contractor’s insurance shall apply separately to each insured against whom a claim </w:t>
      </w:r>
      <w:proofErr w:type="gramStart"/>
      <w:r w:rsidRPr="00DB1606">
        <w:rPr>
          <w:rFonts w:ascii="Calibri" w:hAnsi="Calibri"/>
          <w:color w:val="00263E"/>
          <w:sz w:val="21"/>
          <w:szCs w:val="21"/>
        </w:rPr>
        <w:t>is made</w:t>
      </w:r>
      <w:proofErr w:type="gramEnd"/>
      <w:r w:rsidRPr="00DB1606">
        <w:rPr>
          <w:rFonts w:ascii="Calibri" w:hAnsi="Calibri"/>
          <w:color w:val="00263E"/>
          <w:sz w:val="21"/>
          <w:szCs w:val="21"/>
        </w:rPr>
        <w:t xml:space="preserve"> or suit is brought, except with respect to the</w:t>
      </w:r>
      <w:r w:rsidR="00DB1606">
        <w:rPr>
          <w:rFonts w:ascii="Calibri" w:hAnsi="Calibri"/>
          <w:color w:val="00263E"/>
          <w:sz w:val="21"/>
          <w:szCs w:val="21"/>
        </w:rPr>
        <w:t xml:space="preserve"> insurer’s limits of liability.</w:t>
      </w:r>
      <w:r w:rsidR="003059C1">
        <w:rPr>
          <w:rFonts w:ascii="Calibri" w:hAnsi="Calibri"/>
          <w:color w:val="00263E"/>
          <w:sz w:val="21"/>
          <w:szCs w:val="21"/>
        </w:rPr>
        <w:t xml:space="preserve">  </w:t>
      </w:r>
    </w:p>
    <w:p w:rsidR="003059C1" w:rsidRDefault="003059C1" w:rsidP="003059C1">
      <w:pPr>
        <w:spacing w:before="115"/>
        <w:rPr>
          <w:rFonts w:ascii="Calibri" w:hAnsi="Calibri"/>
          <w:color w:val="00263E"/>
          <w:sz w:val="21"/>
          <w:szCs w:val="21"/>
        </w:rPr>
      </w:pPr>
      <w:r>
        <w:rPr>
          <w:rFonts w:ascii="Calibri" w:hAnsi="Calibri"/>
          <w:color w:val="00263E"/>
          <w:sz w:val="21"/>
          <w:szCs w:val="21"/>
        </w:rPr>
        <w:t xml:space="preserve">    </w:t>
      </w:r>
    </w:p>
    <w:p w:rsidR="003059C1" w:rsidRPr="003059C1" w:rsidRDefault="003059C1" w:rsidP="00BF55B5">
      <w:pPr>
        <w:spacing w:before="115"/>
        <w:rPr>
          <w:rFonts w:ascii="Calibri" w:hAnsi="Calibri"/>
          <w:color w:val="00263E"/>
          <w:sz w:val="21"/>
          <w:szCs w:val="21"/>
        </w:rPr>
      </w:pPr>
      <w:r>
        <w:rPr>
          <w:rFonts w:ascii="Calibri" w:hAnsi="Calibri"/>
          <w:color w:val="00263E"/>
          <w:sz w:val="21"/>
          <w:szCs w:val="21"/>
        </w:rPr>
        <w:t xml:space="preserve"> </w:t>
      </w:r>
      <w:r w:rsidRPr="0070258C">
        <w:rPr>
          <w:rFonts w:ascii="Arial" w:hAnsi="Arial" w:cs="Arial"/>
          <w:bCs/>
          <w:i/>
          <w:iCs/>
          <w:sz w:val="16"/>
          <w:szCs w:val="16"/>
        </w:rPr>
        <w:t xml:space="preserve">I would like to emphasize that the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sample coverage terms </w:t>
      </w:r>
      <w:r w:rsidRPr="0070258C">
        <w:rPr>
          <w:rFonts w:ascii="Arial" w:hAnsi="Arial" w:cs="Arial"/>
          <w:bCs/>
          <w:i/>
          <w:iCs/>
          <w:sz w:val="16"/>
          <w:szCs w:val="16"/>
        </w:rPr>
        <w:t>set forth is from an insurance/risk management pers</w:t>
      </w:r>
      <w:r>
        <w:rPr>
          <w:rFonts w:ascii="Arial" w:hAnsi="Arial" w:cs="Arial"/>
          <w:bCs/>
          <w:i/>
          <w:iCs/>
          <w:sz w:val="16"/>
          <w:szCs w:val="16"/>
        </w:rPr>
        <w:t>pective and is NOT legal advice.</w:t>
      </w:r>
    </w:p>
    <w:sectPr w:rsidR="003059C1" w:rsidRPr="003059C1" w:rsidSect="003059C1">
      <w:footerReference w:type="default" r:id="rId7"/>
      <w:pgSz w:w="12240" w:h="15840"/>
      <w:pgMar w:top="720" w:right="864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06" w:rsidRDefault="00DB1606" w:rsidP="00DB1606">
      <w:r>
        <w:separator/>
      </w:r>
    </w:p>
  </w:endnote>
  <w:endnote w:type="continuationSeparator" w:id="0">
    <w:p w:rsidR="00DB1606" w:rsidRDefault="00DB1606" w:rsidP="00D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06" w:rsidRDefault="00DB1606" w:rsidP="00DB1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06" w:rsidRDefault="00DB1606" w:rsidP="00DB1606">
      <w:r>
        <w:separator/>
      </w:r>
    </w:p>
  </w:footnote>
  <w:footnote w:type="continuationSeparator" w:id="0">
    <w:p w:rsidR="00DB1606" w:rsidRDefault="00DB1606" w:rsidP="00DB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895"/>
    <w:multiLevelType w:val="hybridMultilevel"/>
    <w:tmpl w:val="F7541554"/>
    <w:lvl w:ilvl="0" w:tplc="7D1AE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3E1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86A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72E96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60D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EC35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3CB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E8E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0CA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277782D"/>
    <w:multiLevelType w:val="hybridMultilevel"/>
    <w:tmpl w:val="6B10C014"/>
    <w:lvl w:ilvl="0" w:tplc="71C4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EA0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4A3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AD854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DCE8F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0671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D68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FEE9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F035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F0"/>
    <w:rsid w:val="003059C1"/>
    <w:rsid w:val="00387031"/>
    <w:rsid w:val="004F7285"/>
    <w:rsid w:val="00600EE8"/>
    <w:rsid w:val="00BF55B5"/>
    <w:rsid w:val="00CF59A5"/>
    <w:rsid w:val="00DB1606"/>
    <w:rsid w:val="00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B0CA"/>
  <w15:docId w15:val="{A291E357-CE40-4091-A4F3-E6CA19A4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Blankenburg</dc:creator>
  <cp:lastModifiedBy>Susan Blankenburg</cp:lastModifiedBy>
  <cp:revision>2</cp:revision>
  <dcterms:created xsi:type="dcterms:W3CDTF">2019-02-07T01:14:00Z</dcterms:created>
  <dcterms:modified xsi:type="dcterms:W3CDTF">2019-02-07T01:14:00Z</dcterms:modified>
</cp:coreProperties>
</file>